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7160DD" w:rsidRDefault="00C35862" w:rsidP="007160DD">
      <w:pPr>
        <w:contextualSpacing/>
        <w:jc w:val="both"/>
        <w:rPr>
          <w:b/>
          <w:sz w:val="28"/>
          <w:szCs w:val="28"/>
        </w:rPr>
      </w:pPr>
      <w:r w:rsidRPr="007160DD">
        <w:rPr>
          <w:b/>
          <w:sz w:val="28"/>
          <w:szCs w:val="28"/>
        </w:rPr>
        <w:t>Главе Октябрьского муниципального района</w:t>
      </w:r>
    </w:p>
    <w:p w:rsidR="00C35862" w:rsidRPr="00CB1D3E" w:rsidRDefault="00C35862" w:rsidP="00CB1D3E">
      <w:pPr>
        <w:contextualSpacing/>
        <w:jc w:val="both"/>
        <w:rPr>
          <w:b/>
          <w:sz w:val="28"/>
          <w:szCs w:val="28"/>
        </w:rPr>
      </w:pPr>
      <w:r w:rsidRPr="007160DD">
        <w:rPr>
          <w:b/>
          <w:sz w:val="28"/>
          <w:szCs w:val="28"/>
        </w:rPr>
        <w:t xml:space="preserve">и главам </w:t>
      </w:r>
      <w:r w:rsidRPr="00CB1D3E">
        <w:rPr>
          <w:b/>
          <w:sz w:val="28"/>
          <w:szCs w:val="28"/>
        </w:rPr>
        <w:t>сельских поселений Октябрьского района</w:t>
      </w:r>
    </w:p>
    <w:p w:rsidR="000B41FE" w:rsidRPr="00BF093C" w:rsidRDefault="000B41FE" w:rsidP="00BF093C">
      <w:pPr>
        <w:autoSpaceDE w:val="0"/>
        <w:autoSpaceDN w:val="0"/>
        <w:adjustRightInd w:val="0"/>
        <w:contextualSpacing/>
        <w:jc w:val="both"/>
        <w:rPr>
          <w:sz w:val="28"/>
          <w:szCs w:val="28"/>
        </w:rPr>
      </w:pPr>
    </w:p>
    <w:p w:rsidR="00E82074" w:rsidRPr="00E82074" w:rsidRDefault="00E82074" w:rsidP="00E82074">
      <w:pPr>
        <w:shd w:val="clear" w:color="auto" w:fill="FFFFFF"/>
        <w:contextualSpacing/>
        <w:rPr>
          <w:b/>
          <w:bCs/>
          <w:color w:val="333333"/>
          <w:sz w:val="28"/>
          <w:szCs w:val="28"/>
        </w:rPr>
      </w:pPr>
      <w:bookmarkStart w:id="0" w:name="_GoBack"/>
      <w:r>
        <w:rPr>
          <w:b/>
          <w:bCs/>
          <w:color w:val="333333"/>
          <w:sz w:val="28"/>
          <w:szCs w:val="28"/>
        </w:rPr>
        <w:t>П</w:t>
      </w:r>
      <w:r w:rsidRPr="00E82074">
        <w:rPr>
          <w:b/>
          <w:bCs/>
          <w:color w:val="333333"/>
          <w:sz w:val="28"/>
          <w:szCs w:val="28"/>
        </w:rPr>
        <w:t>ривлечени</w:t>
      </w:r>
      <w:r>
        <w:rPr>
          <w:b/>
          <w:bCs/>
          <w:color w:val="333333"/>
          <w:sz w:val="28"/>
          <w:szCs w:val="28"/>
        </w:rPr>
        <w:t>е</w:t>
      </w:r>
      <w:r w:rsidRPr="00E82074">
        <w:rPr>
          <w:b/>
          <w:bCs/>
          <w:color w:val="333333"/>
          <w:sz w:val="28"/>
          <w:szCs w:val="28"/>
        </w:rPr>
        <w:t xml:space="preserve"> юридических лиц к административной ответственности по статье 19.28 КоАП РФ</w:t>
      </w:r>
    </w:p>
    <w:bookmarkEnd w:id="0"/>
    <w:p w:rsidR="00E82074" w:rsidRPr="00E82074" w:rsidRDefault="00E82074" w:rsidP="00E82074">
      <w:pPr>
        <w:shd w:val="clear" w:color="auto" w:fill="FFFFFF"/>
        <w:contextualSpacing/>
        <w:rPr>
          <w:color w:val="000000"/>
          <w:sz w:val="28"/>
          <w:szCs w:val="28"/>
        </w:rPr>
      </w:pPr>
      <w:r w:rsidRPr="00E82074">
        <w:rPr>
          <w:color w:val="000000"/>
          <w:sz w:val="28"/>
          <w:szCs w:val="28"/>
        </w:rPr>
        <w:t> </w:t>
      </w:r>
      <w:r w:rsidRPr="00E82074">
        <w:rPr>
          <w:color w:val="FFFFFF"/>
          <w:sz w:val="28"/>
          <w:szCs w:val="28"/>
        </w:rPr>
        <w:t>Текст</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Статьей 3 Федерального закона «О противодействии коррупции» к основным принципам противодействия коррупции отнесено приоритетное применение мер по ее предупреждению.</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Действующим законодательством предусмотрена возможность применения к юридическому лицу, от имени или в интересах которого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мер ответственности в соответствии с законодательством Российской Федерации.</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Так, статья 19.28 КоАП РФ предусматривает ответственность юридических лиц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Совершение этого правонарушения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Отличительной особенностью административных правонарушений, предусмотренных ст. 19.28 КоАП РФ, являются существенные суммы штрафов, значительно превышающие размеры штрафов по иным составам административных правонарушений.</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 19.28 КоАП РФ, применяется предусмотренный статьей 27.20 КоАП РФ арест имущества юридического лица, в отношении которого ведется производство по делу. Данная мера обеспечения производства заключается в запрете юридическому лицу распоряжаться арестованным имуществом, в установлении ограничений, связанных с владением и пользованием таким имуществом.</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lastRenderedPageBreak/>
        <w:t>Арест денежных средств, находящихся во вкладах и на счетах в банках или иных кредитных организациях, осуществляется в случаях отсутствия у юридического лица иного имущества.</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Юридическое лицо может быть освобождено от ответственности за административное правонарушение,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(примечание 5 к статье 19.28 КоАП РФ).</w:t>
      </w:r>
    </w:p>
    <w:p w:rsidR="00E82074" w:rsidRPr="00E82074" w:rsidRDefault="00E82074" w:rsidP="00E82074">
      <w:pPr>
        <w:shd w:val="clear" w:color="auto" w:fill="FFFFFF"/>
        <w:ind w:firstLine="708"/>
        <w:contextualSpacing/>
        <w:jc w:val="both"/>
        <w:rPr>
          <w:color w:val="333333"/>
          <w:sz w:val="28"/>
          <w:szCs w:val="28"/>
        </w:rPr>
      </w:pPr>
      <w:r w:rsidRPr="00E82074">
        <w:rPr>
          <w:color w:val="333333"/>
          <w:sz w:val="28"/>
          <w:szCs w:val="28"/>
        </w:rPr>
        <w:t>При этом освобождение юридического лица от ответственности возможно только при условии совершения в совокупности всех перечисленных в законе действий, направленных на способствование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4E1116" w:rsidRDefault="004E1116" w:rsidP="00AB0A1D">
      <w:pPr>
        <w:pStyle w:val="ConsPlusNormal"/>
        <w:ind w:firstLine="0"/>
        <w:contextualSpacing/>
        <w:jc w:val="both"/>
        <w:rPr>
          <w:rFonts w:ascii="Times New Roman" w:hAnsi="Times New Roman" w:cs="Times New Roman"/>
          <w:sz w:val="28"/>
          <w:szCs w:val="28"/>
        </w:rPr>
      </w:pPr>
    </w:p>
    <w:p w:rsidR="00E82074" w:rsidRPr="00AB0A1D" w:rsidRDefault="00E82074" w:rsidP="00AB0A1D">
      <w:pPr>
        <w:pStyle w:val="ConsPlusNormal"/>
        <w:ind w:firstLine="0"/>
        <w:contextualSpacing/>
        <w:jc w:val="both"/>
        <w:rPr>
          <w:rFonts w:ascii="Times New Roman" w:hAnsi="Times New Roman" w:cs="Times New Roman"/>
          <w:sz w:val="28"/>
          <w:szCs w:val="28"/>
        </w:rPr>
      </w:pPr>
    </w:p>
    <w:p w:rsidR="000B41FE" w:rsidRPr="007160DD" w:rsidRDefault="00F95712" w:rsidP="00320EFD">
      <w:pPr>
        <w:autoSpaceDE w:val="0"/>
        <w:autoSpaceDN w:val="0"/>
        <w:adjustRightInd w:val="0"/>
        <w:spacing w:line="240" w:lineRule="exact"/>
        <w:contextualSpacing/>
        <w:jc w:val="both"/>
        <w:rPr>
          <w:sz w:val="28"/>
          <w:szCs w:val="28"/>
        </w:rPr>
      </w:pPr>
      <w:r w:rsidRPr="007160DD">
        <w:rPr>
          <w:sz w:val="28"/>
          <w:szCs w:val="28"/>
        </w:rPr>
        <w:t>Заместитель</w:t>
      </w:r>
      <w:r w:rsidR="000B41FE" w:rsidRPr="007160DD">
        <w:rPr>
          <w:sz w:val="28"/>
          <w:szCs w:val="28"/>
        </w:rPr>
        <w:t xml:space="preserve"> прокурора района</w:t>
      </w:r>
    </w:p>
    <w:p w:rsidR="00071F57" w:rsidRPr="007160DD" w:rsidRDefault="00071F57" w:rsidP="00320EFD">
      <w:pPr>
        <w:autoSpaceDE w:val="0"/>
        <w:autoSpaceDN w:val="0"/>
        <w:adjustRightInd w:val="0"/>
        <w:spacing w:line="240" w:lineRule="exact"/>
        <w:contextualSpacing/>
        <w:jc w:val="both"/>
        <w:rPr>
          <w:sz w:val="28"/>
          <w:szCs w:val="28"/>
        </w:rPr>
      </w:pPr>
    </w:p>
    <w:p w:rsidR="000B41FE" w:rsidRPr="00E84F05" w:rsidRDefault="000B41FE" w:rsidP="00320EFD">
      <w:pPr>
        <w:autoSpaceDE w:val="0"/>
        <w:autoSpaceDN w:val="0"/>
        <w:adjustRightInd w:val="0"/>
        <w:spacing w:line="240" w:lineRule="exact"/>
        <w:contextualSpacing/>
        <w:jc w:val="both"/>
        <w:rPr>
          <w:sz w:val="28"/>
          <w:szCs w:val="28"/>
        </w:rPr>
      </w:pPr>
      <w:r w:rsidRPr="007160DD">
        <w:rPr>
          <w:sz w:val="28"/>
          <w:szCs w:val="28"/>
        </w:rPr>
        <w:t xml:space="preserve">младший советник юстиции                                                               </w:t>
      </w:r>
      <w:r>
        <w:rPr>
          <w:sz w:val="28"/>
          <w:szCs w:val="28"/>
        </w:rPr>
        <w:t>А.И. Бутрик</w:t>
      </w:r>
    </w:p>
    <w:sectPr w:rsidR="000B41FE" w:rsidRPr="00E84F05"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8"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5"/>
  </w:num>
  <w:num w:numId="2">
    <w:abstractNumId w:val="3"/>
  </w:num>
  <w:num w:numId="3">
    <w:abstractNumId w:val="4"/>
  </w:num>
  <w:num w:numId="4">
    <w:abstractNumId w:val="1"/>
  </w:num>
  <w:num w:numId="5">
    <w:abstractNumId w:val="7"/>
  </w:num>
  <w:num w:numId="6">
    <w:abstractNumId w:val="10"/>
  </w:num>
  <w:num w:numId="7">
    <w:abstractNumId w:val="2"/>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605"/>
    <w:rsid w:val="00005FDE"/>
    <w:rsid w:val="00007BA8"/>
    <w:rsid w:val="00020AAE"/>
    <w:rsid w:val="00021CC8"/>
    <w:rsid w:val="00022CB9"/>
    <w:rsid w:val="00034F87"/>
    <w:rsid w:val="000357BE"/>
    <w:rsid w:val="00040C57"/>
    <w:rsid w:val="00041A4F"/>
    <w:rsid w:val="0004599A"/>
    <w:rsid w:val="00054667"/>
    <w:rsid w:val="00056721"/>
    <w:rsid w:val="00056957"/>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7355"/>
    <w:rsid w:val="000D005C"/>
    <w:rsid w:val="000D058D"/>
    <w:rsid w:val="000D1073"/>
    <w:rsid w:val="000D1E2F"/>
    <w:rsid w:val="000D6958"/>
    <w:rsid w:val="000E0011"/>
    <w:rsid w:val="000E559F"/>
    <w:rsid w:val="000F532B"/>
    <w:rsid w:val="000F5CF2"/>
    <w:rsid w:val="0010441E"/>
    <w:rsid w:val="00112D4B"/>
    <w:rsid w:val="001137C9"/>
    <w:rsid w:val="00113FF3"/>
    <w:rsid w:val="00125421"/>
    <w:rsid w:val="00140D1D"/>
    <w:rsid w:val="00152453"/>
    <w:rsid w:val="00161517"/>
    <w:rsid w:val="00164D6D"/>
    <w:rsid w:val="0016568C"/>
    <w:rsid w:val="00167ACF"/>
    <w:rsid w:val="00171374"/>
    <w:rsid w:val="00181454"/>
    <w:rsid w:val="00183400"/>
    <w:rsid w:val="00191EBF"/>
    <w:rsid w:val="00194F87"/>
    <w:rsid w:val="00195E3B"/>
    <w:rsid w:val="001963CA"/>
    <w:rsid w:val="00196EC1"/>
    <w:rsid w:val="001A35D8"/>
    <w:rsid w:val="001B278B"/>
    <w:rsid w:val="001B54CC"/>
    <w:rsid w:val="001B6FC3"/>
    <w:rsid w:val="001C0970"/>
    <w:rsid w:val="001D38E5"/>
    <w:rsid w:val="001E0A50"/>
    <w:rsid w:val="001E148D"/>
    <w:rsid w:val="001E18D2"/>
    <w:rsid w:val="001E6C9D"/>
    <w:rsid w:val="001E7549"/>
    <w:rsid w:val="001E7FD2"/>
    <w:rsid w:val="001F0630"/>
    <w:rsid w:val="001F0B65"/>
    <w:rsid w:val="001F178B"/>
    <w:rsid w:val="001F481E"/>
    <w:rsid w:val="001F69F8"/>
    <w:rsid w:val="00203659"/>
    <w:rsid w:val="0021111F"/>
    <w:rsid w:val="00213878"/>
    <w:rsid w:val="00215C8F"/>
    <w:rsid w:val="002276DE"/>
    <w:rsid w:val="002301BE"/>
    <w:rsid w:val="00232952"/>
    <w:rsid w:val="00235DE4"/>
    <w:rsid w:val="00250F5A"/>
    <w:rsid w:val="00251324"/>
    <w:rsid w:val="002527CC"/>
    <w:rsid w:val="00256C68"/>
    <w:rsid w:val="00257B9C"/>
    <w:rsid w:val="002631B3"/>
    <w:rsid w:val="002658EE"/>
    <w:rsid w:val="00273426"/>
    <w:rsid w:val="0028117B"/>
    <w:rsid w:val="002838C4"/>
    <w:rsid w:val="00283E52"/>
    <w:rsid w:val="00285105"/>
    <w:rsid w:val="002A009E"/>
    <w:rsid w:val="002A0279"/>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20EFD"/>
    <w:rsid w:val="00325297"/>
    <w:rsid w:val="003302CF"/>
    <w:rsid w:val="0033381E"/>
    <w:rsid w:val="0039170A"/>
    <w:rsid w:val="00392C57"/>
    <w:rsid w:val="00394AA1"/>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3F60E0"/>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93A"/>
    <w:rsid w:val="004D21C1"/>
    <w:rsid w:val="004E089F"/>
    <w:rsid w:val="004E1116"/>
    <w:rsid w:val="004E1CA2"/>
    <w:rsid w:val="004E2F21"/>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7608A"/>
    <w:rsid w:val="005769C7"/>
    <w:rsid w:val="00577E17"/>
    <w:rsid w:val="00580F90"/>
    <w:rsid w:val="00582CD8"/>
    <w:rsid w:val="00587234"/>
    <w:rsid w:val="005928F9"/>
    <w:rsid w:val="00595691"/>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D27BD"/>
    <w:rsid w:val="008D5B09"/>
    <w:rsid w:val="008E074D"/>
    <w:rsid w:val="008E076A"/>
    <w:rsid w:val="008E1A4F"/>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5C03"/>
    <w:rsid w:val="009E1E4B"/>
    <w:rsid w:val="009E696B"/>
    <w:rsid w:val="009E6DBF"/>
    <w:rsid w:val="009F4367"/>
    <w:rsid w:val="009F46BC"/>
    <w:rsid w:val="009F5C08"/>
    <w:rsid w:val="00A06E77"/>
    <w:rsid w:val="00A13262"/>
    <w:rsid w:val="00A167D0"/>
    <w:rsid w:val="00A26DFF"/>
    <w:rsid w:val="00A30BB5"/>
    <w:rsid w:val="00A31919"/>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932D2"/>
    <w:rsid w:val="00A965E4"/>
    <w:rsid w:val="00AA2834"/>
    <w:rsid w:val="00AA2F10"/>
    <w:rsid w:val="00AA3597"/>
    <w:rsid w:val="00AA602C"/>
    <w:rsid w:val="00AB062A"/>
    <w:rsid w:val="00AB0A1D"/>
    <w:rsid w:val="00AB3C7B"/>
    <w:rsid w:val="00AB4C57"/>
    <w:rsid w:val="00AB5906"/>
    <w:rsid w:val="00AB7FFC"/>
    <w:rsid w:val="00AC72FF"/>
    <w:rsid w:val="00AC7ECD"/>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6DC2"/>
    <w:rsid w:val="00BB7608"/>
    <w:rsid w:val="00BC3AAC"/>
    <w:rsid w:val="00BC5CD6"/>
    <w:rsid w:val="00BD19E3"/>
    <w:rsid w:val="00BD4263"/>
    <w:rsid w:val="00BD7FC2"/>
    <w:rsid w:val="00BE3D6E"/>
    <w:rsid w:val="00BE5DA1"/>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9FF"/>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24F80"/>
    <w:rsid w:val="00E31332"/>
    <w:rsid w:val="00E33F8C"/>
    <w:rsid w:val="00E35744"/>
    <w:rsid w:val="00E3743E"/>
    <w:rsid w:val="00E45B78"/>
    <w:rsid w:val="00E52570"/>
    <w:rsid w:val="00E52BEC"/>
    <w:rsid w:val="00E7701E"/>
    <w:rsid w:val="00E82074"/>
    <w:rsid w:val="00E84F05"/>
    <w:rsid w:val="00E903F4"/>
    <w:rsid w:val="00E909E6"/>
    <w:rsid w:val="00E90C65"/>
    <w:rsid w:val="00EA6DB4"/>
    <w:rsid w:val="00EB266C"/>
    <w:rsid w:val="00EB6809"/>
    <w:rsid w:val="00EB6DE5"/>
    <w:rsid w:val="00ED12D1"/>
    <w:rsid w:val="00ED23FA"/>
    <w:rsid w:val="00ED24E8"/>
    <w:rsid w:val="00EF08F1"/>
    <w:rsid w:val="00EF47C0"/>
    <w:rsid w:val="00EF5120"/>
    <w:rsid w:val="00F0006C"/>
    <w:rsid w:val="00F213C2"/>
    <w:rsid w:val="00F22A59"/>
    <w:rsid w:val="00F34175"/>
    <w:rsid w:val="00F35180"/>
    <w:rsid w:val="00F41528"/>
    <w:rsid w:val="00F4164C"/>
    <w:rsid w:val="00F5097A"/>
    <w:rsid w:val="00F64B7A"/>
    <w:rsid w:val="00F6630A"/>
    <w:rsid w:val="00F71E71"/>
    <w:rsid w:val="00F84825"/>
    <w:rsid w:val="00F84EEA"/>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4A279"/>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2022-06-22T11:36:00Z</cp:lastPrinted>
  <dcterms:created xsi:type="dcterms:W3CDTF">2022-06-22T11:38:00Z</dcterms:created>
  <dcterms:modified xsi:type="dcterms:W3CDTF">2022-06-22T11:38:00Z</dcterms:modified>
</cp:coreProperties>
</file>